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rtl w:val="0"/>
        </w:rPr>
      </w:r>
    </w:p>
    <w:p w:rsidR="00000000" w:rsidDel="00000000" w:rsidP="00000000" w:rsidRDefault="00000000" w:rsidRPr="00000000" w14:paraId="00000002">
      <w:pPr>
        <w:pStyle w:val="Heading1"/>
        <w:numPr>
          <w:ilvl w:val="0"/>
          <w:numId w:val="2"/>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9" w:lineRule="auto"/>
        <w:rPr>
          <w:b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505"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32" w:lineRule="auto"/>
              <w:ind w:left="175" w:firstLine="0"/>
              <w:rPr>
                <w:color w:val="000000"/>
              </w:rPr>
            </w:pPr>
            <w:r w:rsidDel="00000000" w:rsidR="00000000" w:rsidRPr="00000000">
              <w:rPr>
                <w:rtl w:val="0"/>
              </w:rPr>
              <w:t xml:space="preserve"> 202576002100100007E</w:t>
            </w: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232" w:line="251" w:lineRule="auto"/>
              <w:ind w:left="175" w:firstLine="0"/>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758"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CONVENIO INTERADMINISTRATIVO</w:t>
            </w:r>
          </w:p>
        </w:tc>
      </w:tr>
      <w:tr>
        <w:trPr>
          <w:cantSplit w:val="0"/>
          <w:trHeight w:val="757"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003"/>
                <w:tab w:val="left" w:leader="none" w:pos="3396"/>
              </w:tabs>
              <w:ind w:left="112" w:right="103" w:firstLine="0"/>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610"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10">
            <w:pPr>
              <w:spacing w:before="5" w:line="235" w:lineRule="auto"/>
              <w:ind w:right="84"/>
              <w:jc w:val="both"/>
              <w:rPr/>
            </w:pPr>
            <w:r w:rsidDel="00000000" w:rsidR="00000000" w:rsidRPr="00000000">
              <w:rPr>
                <w:rtl w:val="0"/>
              </w:rPr>
              <w:t xml:space="preserve">“Aunar esfuerzos institucionales, administrativos, técnicos, financieros y tecnológicos entre la Secretaría Distrital de Cultura Recreación y Deporte y la Asociación Nacional de Música Sinfónica, para la estructuración, preparación, lanzamiento, divulgación y previsión en general del Concurso Internacional de Violín 2025” </w:t>
            </w:r>
          </w:p>
        </w:tc>
      </w:tr>
      <w:tr>
        <w:trPr>
          <w:cantSplit w:val="0"/>
          <w:trHeight w:val="375"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757" w:hRule="atLeast"/>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A">
      <w:pPr>
        <w:pBdr>
          <w:top w:space="0" w:sz="0" w:val="nil"/>
          <w:left w:space="0" w:sz="0" w:val="nil"/>
          <w:bottom w:space="0" w:sz="0" w:val="nil"/>
          <w:right w:space="0" w:sz="0" w:val="nil"/>
          <w:between w:space="0" w:sz="0" w:val="nil"/>
        </w:pBdr>
        <w:ind w:left="110" w:firstLine="0"/>
        <w:rPr>
          <w:color w:val="000000"/>
        </w:rPr>
        <w:sectPr>
          <w:headerReference r:id="rId7" w:type="default"/>
          <w:pgSz w:h="15840" w:w="12240" w:orient="portrait"/>
          <w:pgMar w:bottom="280" w:top="3040" w:left="1440" w:right="1080" w:header="1022" w:footer="0"/>
          <w:pgNumType w:start="1"/>
        </w:sect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41" w:lineRule="auto"/>
        <w:rPr>
          <w:b w:val="1"/>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503"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506"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01/02/2025 AL 28/02/2025</w:t>
            </w:r>
          </w:p>
        </w:tc>
      </w:tr>
      <w:tr>
        <w:trPr>
          <w:cantSplit w:val="0"/>
          <w:trHeight w:val="1910" w:hRule="atLeast"/>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3" w:lineRule="auto"/>
        <w:rPr>
          <w:b w:val="1"/>
          <w:color w:val="000000"/>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191" w:lineRule="auto"/>
        <w:ind w:left="374" w:firstLine="0"/>
        <w:jc w:val="both"/>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139700</wp:posOffset>
                </wp:positionH>
                <wp:positionV relativeFrom="paragraph">
                  <wp:posOffset>76200</wp:posOffset>
                </wp:positionV>
                <wp:extent cx="5972175" cy="734693"/>
                <wp:effectExtent b="0" l="0" r="0" t="0"/>
                <wp:wrapNone/>
                <wp:docPr id="10"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139700</wp:posOffset>
                </wp:positionH>
                <wp:positionV relativeFrom="paragraph">
                  <wp:posOffset>76200</wp:posOffset>
                </wp:positionV>
                <wp:extent cx="5972175" cy="734693"/>
                <wp:effectExtent b="0" l="0" r="0" t="0"/>
                <wp:wrapNone/>
                <wp:docPr id="10"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972175" cy="734693"/>
                        </a:xfrm>
                        <a:prstGeom prst="rect"/>
                        <a:ln/>
                      </pic:spPr>
                    </pic:pic>
                  </a:graphicData>
                </a:graphic>
              </wp:anchor>
            </w:drawing>
          </mc:Fallback>
        </mc:AlternateConten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092"/>
          <w:tab w:val="left" w:leader="none" w:pos="1094"/>
        </w:tabs>
        <w:ind w:left="1815" w:right="199" w:firstLine="0"/>
        <w:jc w:val="both"/>
        <w:rPr>
          <w:color w:val="000000"/>
        </w:rPr>
      </w:pPr>
      <w:r w:rsidDel="00000000" w:rsidR="00000000" w:rsidRPr="00000000">
        <w:rPr>
          <w:rtl w:val="0"/>
        </w:rPr>
      </w:r>
    </w:p>
    <w:p w:rsidR="00000000" w:rsidDel="00000000" w:rsidP="00000000" w:rsidRDefault="00000000" w:rsidRPr="00000000" w14:paraId="00000026">
      <w:pPr>
        <w:pStyle w:val="Heading1"/>
        <w:spacing w:line="252.00000000000003" w:lineRule="auto"/>
        <w:ind w:left="264" w:firstLine="0"/>
        <w:jc w:val="left"/>
        <w:rPr/>
      </w:pPr>
      <w:r w:rsidDel="00000000" w:rsidR="00000000" w:rsidRPr="00000000">
        <w:rPr>
          <w:rtl w:val="0"/>
        </w:rPr>
        <w:t xml:space="preserve">Se procede a rendir el informe sobre la ejecución y cumplimiento del objeto contratado y cada una de las obligaciones pactadas así:</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388" w:hRule="atLeast"/>
          <w:tblHeader w:val="0"/>
        </w:trPr>
        <w:tc>
          <w:tcPr/>
          <w:p w:rsidR="00000000" w:rsidDel="00000000" w:rsidP="00000000" w:rsidRDefault="00000000" w:rsidRPr="00000000" w14:paraId="0000002B">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2C">
            <w:pPr>
              <w:spacing w:before="4" w:line="241" w:lineRule="auto"/>
              <w:ind w:left="112" w:firstLine="0"/>
              <w:jc w:val="both"/>
              <w:rPr/>
            </w:pPr>
            <w:r w:rsidDel="00000000" w:rsidR="00000000" w:rsidRPr="00000000">
              <w:rPr>
                <w:rtl w:val="0"/>
              </w:rPr>
              <w:t xml:space="preserve">Se realizó el diseño e implementación de una estrategia de relacionamiento con agentes y entidades relevantes para el desarrollo del concurso. La etapa de diseño contempló la construcción de una base de datos conformada por 182 profesores vinculados a 25 prestigiosas universidades internacionales, 10 organizaciones con programas de formación o perfeccionamiento, 3 orquestas juveniles internacionales y 23 festivales internacionales de violín.</w:t>
            </w:r>
          </w:p>
          <w:p w:rsidR="00000000" w:rsidDel="00000000" w:rsidP="00000000" w:rsidRDefault="00000000" w:rsidRPr="00000000" w14:paraId="0000002D">
            <w:pPr>
              <w:spacing w:before="4" w:line="241" w:lineRule="auto"/>
              <w:ind w:left="112" w:firstLine="0"/>
              <w:jc w:val="both"/>
              <w:rPr/>
            </w:pPr>
            <w:r w:rsidDel="00000000" w:rsidR="00000000" w:rsidRPr="00000000">
              <w:rPr>
                <w:rtl w:val="0"/>
              </w:rPr>
            </w:r>
          </w:p>
          <w:p w:rsidR="00000000" w:rsidDel="00000000" w:rsidP="00000000" w:rsidRDefault="00000000" w:rsidRPr="00000000" w14:paraId="0000002E">
            <w:pPr>
              <w:spacing w:before="4" w:line="241" w:lineRule="auto"/>
              <w:ind w:left="112" w:firstLine="0"/>
              <w:jc w:val="both"/>
              <w:rPr/>
            </w:pPr>
            <w:r w:rsidDel="00000000" w:rsidR="00000000" w:rsidRPr="00000000">
              <w:rPr>
                <w:rtl w:val="0"/>
              </w:rPr>
              <w:t xml:space="preserve">En la etapa de implementación se crearon cartas personalizadas para todos los contactos identificados y se creó la base de datos –en el formato solicitado por la SCRD–para el envío de correspondencia a estos aliados directamente desde el despacho del Secretario. Adicionalmente se crearon y enviaron cartas personalizadas a 162 profesores y se realizó contacto directo con el Festival Huilo Huilo (Chile), Equity Arc (EEUU) Scandinavian Cello School (DK) y Global Leaders Institute (UK). Esta gestión permitió la difusión interna del concurso con las comunidades artísticas de estas entidades.</w:t>
            </w:r>
          </w:p>
        </w:tc>
      </w:tr>
    </w:tbl>
    <w:p w:rsidR="00000000" w:rsidDel="00000000" w:rsidP="00000000" w:rsidRDefault="00000000" w:rsidRPr="00000000" w14:paraId="0000002F">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41" w:lineRule="auto"/>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1139" w:hRule="atLeast"/>
          <w:tblHeader w:val="0"/>
        </w:trPr>
        <w:tc>
          <w:tcPr/>
          <w:p w:rsidR="00000000" w:rsidDel="00000000" w:rsidP="00000000" w:rsidRDefault="00000000" w:rsidRPr="00000000" w14:paraId="00000035">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36">
            <w:pPr>
              <w:spacing w:before="4" w:line="241" w:lineRule="auto"/>
              <w:ind w:left="112" w:firstLine="0"/>
              <w:jc w:val="both"/>
              <w:rPr/>
            </w:pPr>
            <w:r w:rsidDel="00000000" w:rsidR="00000000" w:rsidRPr="00000000">
              <w:rPr>
                <w:rtl w:val="0"/>
              </w:rPr>
              <w:t xml:space="preserve">La Asociación Nacional de Música Sinfónica ha venido cumpliendo con este requerimiento, abarcando a cabalidad las necesidades del convenio. Se han realizado mesas de trabajo para seguimiento y control del presupuesto entre Deisy Burbano y Hugo Robles.</w:t>
            </w:r>
          </w:p>
          <w:p w:rsidR="00000000" w:rsidDel="00000000" w:rsidP="00000000" w:rsidRDefault="00000000" w:rsidRPr="00000000" w14:paraId="00000037">
            <w:pPr>
              <w:spacing w:before="4" w:line="241" w:lineRule="auto"/>
              <w:ind w:left="112" w:firstLine="0"/>
              <w:jc w:val="both"/>
              <w:rPr/>
            </w:pPr>
            <w:r w:rsidDel="00000000" w:rsidR="00000000" w:rsidRPr="00000000">
              <w:rPr>
                <w:rtl w:val="0"/>
              </w:rPr>
              <w:t xml:space="preserve">Se realizó apoyo a la selección de jurados, mediante la creación de una matriz con los jurados de las últimas ediciones de los concursos internacionales Queen Elizabeth, Menuhin, Paganini, Joseph Joachim, Kreisler y Wieniawsi.</w:t>
            </w:r>
          </w:p>
        </w:tc>
      </w:tr>
    </w:tbl>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 w:before="3" w:lineRule="auto"/>
        <w:rPr>
          <w:color w:val="000000"/>
        </w:rPr>
      </w:pPr>
      <w:r w:rsidDel="00000000" w:rsidR="00000000" w:rsidRPr="00000000">
        <w:rPr>
          <w:rtl w:val="0"/>
        </w:rPr>
      </w:r>
    </w:p>
    <w:tbl>
      <w:tblPr>
        <w:tblStyle w:val="Table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184"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3E">
            <w:pPr>
              <w:spacing w:before="4" w:line="241" w:lineRule="auto"/>
              <w:ind w:left="11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Se contrató la coordinación de producción a cargo de Guillermo Guevara a partir del 3 de febrero de 2025, logrando el efectivo cumplimiento del cronograma del convenio.</w:t>
            </w:r>
          </w:p>
          <w:p w:rsidR="00000000" w:rsidDel="00000000" w:rsidP="00000000" w:rsidRDefault="00000000" w:rsidRPr="00000000" w14:paraId="0000003F">
            <w:pPr>
              <w:spacing w:before="4" w:line="241" w:lineRule="auto"/>
              <w:ind w:left="112" w:firstLine="0"/>
              <w:jc w:val="both"/>
              <w:rPr/>
            </w:pPr>
            <w:r w:rsidDel="00000000" w:rsidR="00000000" w:rsidRPr="00000000">
              <w:rPr>
                <w:rtl w:val="0"/>
              </w:rPr>
              <w:t xml:space="preserve">En la etapa de implementación se crearon cartas personalizadas para todos los contactos identificados y se creó la base de datos –en el formato solicitado por la SCRD–para el envío de correspondencia a estos aliados directamente desde el despacho del Secretario. Adicionalmente se crearon y enviaron cartas personalizadas a 162 profesores y se realizó contacto directo con el Festival Huilo Huilo (Chile), Equity Arc (EEUU) Scandinavian Cello School (DK) y Global Leaders Institute (UK). Esta gestión permitió la difusión interna del concurso con las comunidades artísticas de estas entidades.</w:t>
            </w:r>
          </w:p>
          <w:p w:rsidR="00000000" w:rsidDel="00000000" w:rsidP="00000000" w:rsidRDefault="00000000" w:rsidRPr="00000000" w14:paraId="00000040">
            <w:pPr>
              <w:spacing w:before="4" w:line="241" w:lineRule="auto"/>
              <w:ind w:left="112" w:firstLine="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El coordinador de producción y todo el equipo técnico han estado a la cabeza de la misma para su buen desarrollo. Se realizó seguimiento a las consultas de posibles candidatos, dando respuesta oportuna a los mensajes dirigidos al correo electrónico oficial del Concurso.</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En estos dos enlaces se puede ver la evolución de los concursantes inscritos.</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3" w:line="241" w:lineRule="auto"/>
              <w:ind w:left="112" w:firstLine="0"/>
              <w:jc w:val="both"/>
              <w:rPr/>
            </w:pPr>
            <w:hyperlink r:id="rId9">
              <w:r w:rsidDel="00000000" w:rsidR="00000000" w:rsidRPr="00000000">
                <w:rPr>
                  <w:color w:val="1155cc"/>
                  <w:u w:val="single"/>
                  <w:rtl w:val="0"/>
                </w:rPr>
                <w:t xml:space="preserve">https://docs.google.com/spreadsheets/d/1FsBlh75Dw7fYw3WtASA4TAqu_4dOLFtY1PNlJ6cAzEE/edit?usp=drive_link</w:t>
              </w:r>
            </w:hyperlink>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3" w:line="241" w:lineRule="auto"/>
              <w:ind w:left="112" w:firstLine="0"/>
              <w:jc w:val="both"/>
              <w:rPr/>
            </w:pPr>
            <w:hyperlink r:id="rId10">
              <w:r w:rsidDel="00000000" w:rsidR="00000000" w:rsidRPr="00000000">
                <w:rPr>
                  <w:color w:val="1155cc"/>
                  <w:u w:val="single"/>
                  <w:rtl w:val="0"/>
                </w:rPr>
                <w:t xml:space="preserve">https://docs.google.com/spreadsheets/d/1302Dhc9XEWaW7fNYET6BzzbxDU12a4QHMoKAXiEU6-s/edit?usp=drive_link</w:t>
              </w:r>
            </w:hyperlink>
            <w:r w:rsidDel="00000000" w:rsidR="00000000" w:rsidRPr="00000000">
              <w:rPr>
                <w:rtl w:val="0"/>
              </w:rPr>
            </w:r>
          </w:p>
          <w:p w:rsidR="00000000" w:rsidDel="00000000" w:rsidP="00000000" w:rsidRDefault="00000000" w:rsidRPr="00000000" w14:paraId="00000046">
            <w:pPr>
              <w:spacing w:before="4" w:line="241" w:lineRule="auto"/>
              <w:ind w:left="112" w:firstLine="0"/>
              <w:rPr/>
            </w:pPr>
            <w:r w:rsidDel="00000000" w:rsidR="00000000" w:rsidRPr="00000000">
              <w:rPr>
                <w:rtl w:val="0"/>
              </w:rPr>
            </w:r>
          </w:p>
          <w:p w:rsidR="00000000" w:rsidDel="00000000" w:rsidP="00000000" w:rsidRDefault="00000000" w:rsidRPr="00000000" w14:paraId="00000047">
            <w:pPr>
              <w:spacing w:before="4" w:line="241" w:lineRule="auto"/>
              <w:ind w:left="112" w:firstLine="0"/>
              <w:jc w:val="both"/>
              <w:rPr/>
            </w:pPr>
            <w:r w:rsidDel="00000000" w:rsidR="00000000" w:rsidRPr="00000000">
              <w:rPr>
                <w:rtl w:val="0"/>
              </w:rPr>
              <w:t xml:space="preserve">Se realizó el diseño e implementación de una estrategia de relacionamiento con agentes y entidades relevantes para el desarrollo del concurso. La etapa de diseño contempló la construcción de una base de datos conformada por 182 profesores vinculados a 25 prestigiosas universidades internacionales, 10 organizaciones con programas de formación o perfeccionamiento, 3 orquestas juveniles internacionales y 23 festivales internacionales de violín.</w:t>
            </w:r>
          </w:p>
        </w:tc>
      </w:tr>
    </w:tbl>
    <w:p w:rsidR="00000000" w:rsidDel="00000000" w:rsidP="00000000" w:rsidRDefault="00000000" w:rsidRPr="00000000" w14:paraId="00000048">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7" w:lineRule="auto"/>
        <w:rPr>
          <w:color w:val="000000"/>
        </w:rPr>
      </w:pPr>
      <w:r w:rsidDel="00000000" w:rsidR="00000000" w:rsidRPr="00000000">
        <w:rPr>
          <w:rtl w:val="0"/>
        </w:rPr>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219"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El primer y segundo comité técnico operativo se llevó a cabo los días 6 de diciembre de 2024 y 22 de enero de 2025, respectivamente</w:t>
            </w:r>
            <w:r w:rsidDel="00000000" w:rsidR="00000000" w:rsidRPr="00000000">
              <w:rPr>
                <w:color w:val="000000"/>
                <w:rtl w:val="0"/>
              </w:rPr>
              <w:t xml:space="preserve">, a la fecha no se han dispuesto más comités. </w:t>
            </w:r>
            <w:r w:rsidDel="00000000" w:rsidR="00000000" w:rsidRPr="00000000">
              <w:rPr>
                <w:rtl w:val="0"/>
              </w:rPr>
              <w:t xml:space="preserve">Actas reposan en el expediente 202576002100100007E de Orfeo.</w:t>
            </w:r>
          </w:p>
        </w:tc>
      </w:tr>
    </w:tbl>
    <w:p w:rsidR="00000000" w:rsidDel="00000000" w:rsidP="00000000" w:rsidRDefault="00000000" w:rsidRPr="00000000" w14:paraId="0000004F">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55">
            <w:pPr>
              <w:spacing w:before="4" w:line="241" w:lineRule="auto"/>
              <w:ind w:left="112" w:firstLine="0"/>
              <w:jc w:val="both"/>
              <w:rPr>
                <w:color w:val="000000"/>
              </w:rPr>
            </w:pPr>
            <w:r w:rsidDel="00000000" w:rsidR="00000000" w:rsidRPr="00000000">
              <w:rPr>
                <w:rtl w:val="0"/>
              </w:rPr>
              <w:t xml:space="preserve">En el tercer mes de ejecución, se han adelantado las acciones requeridas para garantizar el correcto desarrollo del convenio, tales como el apoyo administrativo desde la SCRD, así como el alistamiento y desarrollo de los compromisos de los comités. Se desarrolló un presupuesto de preproducción ampliado el cual se anexa al informe y se están diseñando las condiciones de adhesión de jurados del concurso para ser anunciados.</w:t>
            </w:r>
            <w:r w:rsidDel="00000000" w:rsidR="00000000" w:rsidRPr="00000000">
              <w:rPr>
                <w:rtl w:val="0"/>
              </w:rPr>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264" w:firstLine="0"/>
        <w:rPr/>
      </w:pP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60" w:hRule="atLeast"/>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52.00000000000003" w:lineRule="auto"/>
              <w:ind w:left="112" w:right="83" w:firstLine="0"/>
              <w:jc w:val="both"/>
              <w:rPr>
                <w:color w:val="000000"/>
              </w:rPr>
            </w:pPr>
            <w:r w:rsidDel="00000000" w:rsidR="00000000" w:rsidRPr="00000000">
              <w:rPr>
                <w:rtl w:val="0"/>
              </w:rPr>
              <w:t xml:space="preserve">Se elaboraron el presupuesto y cronograma, los cuales fueron aprobados en el comité técnico operativo N°1</w:t>
            </w:r>
            <w:r w:rsidDel="00000000" w:rsidR="00000000" w:rsidRPr="00000000">
              <w:rPr>
                <w:color w:val="000000"/>
                <w:rtl w:val="0"/>
              </w:rPr>
              <w:t xml:space="preserv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52.00000000000003" w:lineRule="auto"/>
              <w:ind w:left="112" w:right="83" w:firstLine="0"/>
              <w:jc w:val="both"/>
              <w:rPr>
                <w:color w:val="000000"/>
              </w:rPr>
            </w:pPr>
            <w:r w:rsidDel="00000000" w:rsidR="00000000" w:rsidRPr="00000000">
              <w:rPr>
                <w:rtl w:val="0"/>
              </w:rPr>
              <w:t xml:space="preserve">Dichos documentos se anexan y se han venido cumpliendo a cabalidad sin ningún cambio. </w:t>
            </w:r>
            <w:hyperlink r:id="rId11">
              <w:r w:rsidDel="00000000" w:rsidR="00000000" w:rsidRPr="00000000">
                <w:rPr>
                  <w:color w:val="1155cc"/>
                  <w:u w:val="single"/>
                  <w:rtl w:val="0"/>
                </w:rPr>
                <w:t xml:space="preserve">https://drive.google.com/file/d/1T-dcfNJZFiIr9QhIXKHHxJWPmFjT9QTz/view?usp=drive_link</w:t>
              </w:r>
            </w:hyperlink>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5E">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0"/>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64">
            <w:pPr>
              <w:spacing w:before="4" w:line="241" w:lineRule="auto"/>
              <w:ind w:left="112" w:firstLine="0"/>
              <w:jc w:val="both"/>
              <w:rPr/>
            </w:pPr>
            <w:r w:rsidDel="00000000" w:rsidR="00000000" w:rsidRPr="00000000">
              <w:rPr>
                <w:rtl w:val="0"/>
              </w:rPr>
              <w:t xml:space="preserve">A la fecha se han realizado 1 informe de supervisión, informando la ejecución del convenio, Radicados por la ANMS en correspondencia externa de la SCRD el cual se anexa al informe y reposan en el expediente 202576002100100007E de Orfeo.</w:t>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Se amplió la convocatoria, la cual está disponible y estará abierta hasta el 31 de mayo 2025.</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El coordinador de producción y todo el equipo técnico han estado a la cabeza de la misma para su buen desarrollo. Se realizó seguimiento a las consultas de posibles candidatos, dando respuesta oportuna a los mensajes dirigidos al correo electrónico oficial del Concurso.</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En estos dos enlaces se puede ver la evolución de los concursantes inscritos.</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3" w:line="241" w:lineRule="auto"/>
              <w:ind w:left="112" w:firstLine="0"/>
              <w:jc w:val="both"/>
              <w:rPr/>
            </w:pPr>
            <w:hyperlink r:id="rId12">
              <w:r w:rsidDel="00000000" w:rsidR="00000000" w:rsidRPr="00000000">
                <w:rPr>
                  <w:color w:val="1155cc"/>
                  <w:u w:val="single"/>
                  <w:rtl w:val="0"/>
                </w:rPr>
                <w:t xml:space="preserve">https://docs.google.com/spreadsheets/d/1FsBlh75Dw7fYw3WtASA4TAqu_4dOLFtY1PNlJ6cAzEE/edit?usp=drive_link</w:t>
              </w:r>
            </w:hyperlink>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3" w:line="241" w:lineRule="auto"/>
              <w:ind w:left="112" w:firstLine="0"/>
              <w:jc w:val="both"/>
              <w:rPr/>
            </w:pPr>
            <w:hyperlink r:id="rId13">
              <w:r w:rsidDel="00000000" w:rsidR="00000000" w:rsidRPr="00000000">
                <w:rPr>
                  <w:color w:val="1155cc"/>
                  <w:u w:val="single"/>
                  <w:rtl w:val="0"/>
                </w:rPr>
                <w:t xml:space="preserve">https://docs.google.com/spreadsheets/d/1302Dhc9XEWaW7fNYET6BzzbxDU12a4QHMoKAXiEU6-s/edit?usp=drive_link</w:t>
              </w:r>
            </w:hyperlink>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2"/>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230" w:hRule="atLeast"/>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ind w:left="112" w:right="85" w:firstLine="0"/>
              <w:jc w:val="both"/>
              <w:rPr>
                <w:color w:val="000000"/>
              </w:rPr>
            </w:pPr>
            <w:r w:rsidDel="00000000" w:rsidR="00000000" w:rsidRPr="00000000">
              <w:rPr>
                <w:rtl w:val="0"/>
              </w:rPr>
              <w:t xml:space="preserve">Para el cumplimiento de esta obligación se requiere que el concurso haya tenido lugar. Se aprueba una tasa techo en dólares para tener la provisión de premios lista para ese entonces.</w:t>
            </w:r>
            <w:r w:rsidDel="00000000" w:rsidR="00000000" w:rsidRPr="00000000">
              <w:rPr>
                <w:rtl w:val="0"/>
              </w:rPr>
            </w:r>
          </w:p>
        </w:tc>
      </w:tr>
    </w:tbl>
    <w:p w:rsidR="00000000" w:rsidDel="00000000" w:rsidP="00000000" w:rsidRDefault="00000000" w:rsidRPr="00000000" w14:paraId="00000079">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tbl>
      <w:tblPr>
        <w:tblStyle w:val="Table13"/>
        <w:tblW w:w="9345.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45"/>
        <w:gridCol w:w="4500"/>
        <w:tblGridChange w:id="0">
          <w:tblGrid>
            <w:gridCol w:w="4845"/>
            <w:gridCol w:w="4500"/>
          </w:tblGrid>
        </w:tblGridChange>
      </w:tblGrid>
      <w:tr>
        <w:trPr>
          <w:cantSplit w:val="0"/>
          <w:trHeight w:val="254" w:hRule="atLeast"/>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040" w:hRule="atLeast"/>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2" w:line="237" w:lineRule="auto"/>
              <w:ind w:left="112" w:right="83" w:firstLine="0"/>
              <w:jc w:val="both"/>
              <w:rPr/>
            </w:pPr>
            <w:r w:rsidDel="00000000" w:rsidR="00000000" w:rsidRPr="00000000">
              <w:rPr>
                <w:rtl w:val="0"/>
              </w:rPr>
              <w:t xml:space="preserve">Se realizó el diseño de la agenda académica del Concurso, contemplando las condiciones de participación, proceso de selección, diseño de formularios de inscripción y elaboración de la matriz de programación de clases magistrales.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2" w:line="237" w:lineRule="auto"/>
              <w:ind w:left="112" w:right="83" w:firstLine="0"/>
              <w:jc w:val="both"/>
              <w:rPr/>
            </w:pPr>
            <w:r w:rsidDel="00000000" w:rsidR="00000000" w:rsidRPr="00000000">
              <w:rPr>
                <w:rtl w:val="0"/>
              </w:rPr>
            </w:r>
          </w:p>
        </w:tc>
      </w:tr>
    </w:tbl>
    <w:p w:rsidR="00000000" w:rsidDel="00000000" w:rsidP="00000000" w:rsidRDefault="00000000" w:rsidRPr="00000000" w14:paraId="00000081">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4" w:line="241" w:lineRule="auto"/>
              <w:ind w:left="112" w:firstLine="0"/>
              <w:jc w:val="both"/>
              <w:rPr>
                <w:color w:val="000000"/>
              </w:rPr>
            </w:pPr>
            <w:r w:rsidDel="00000000" w:rsidR="00000000" w:rsidRPr="00000000">
              <w:rPr>
                <w:rtl w:val="0"/>
              </w:rPr>
              <w:t xml:space="preserve">Se apoyó la construcción de la propuesta, creada por el Teatro Mayor Julio Mario Santo Domingo y dirigida a la Fundación Ramírez Moreno, para la compra de 20 violines elaborados por luthiers locales, como parte de los posibles estímulos por ofrecer a los violinistas locales que participen en la agenda académica del concurso.</w:t>
            </w:r>
            <w:r w:rsidDel="00000000" w:rsidR="00000000" w:rsidRPr="00000000">
              <w:rPr>
                <w:rtl w:val="0"/>
              </w:rPr>
            </w:r>
          </w:p>
        </w:tc>
      </w:tr>
    </w:tbl>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21" w:lineRule="auto"/>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6" w:hRule="atLeast"/>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ind w:left="112" w:right="87" w:firstLine="0"/>
              <w:jc w:val="both"/>
              <w:rPr>
                <w:color w:val="000000"/>
              </w:rPr>
            </w:pPr>
            <w:r w:rsidDel="00000000" w:rsidR="00000000" w:rsidRPr="00000000">
              <w:rPr>
                <w:rtl w:val="0"/>
              </w:rPr>
              <w:t xml:space="preserve">La ejecución del rubro destinado a publicidad y divulgación se viene desarrollando de manera eficaz, actualizando periódicamente la información en las respectivas plataformas. La ejecución del rubro destinado a publicidad y divulgación se viene desarrollando de manera eficaz, actualizando periódicamente la información en las respectivas plataformas</w:t>
            </w:r>
            <w:r w:rsidDel="00000000" w:rsidR="00000000" w:rsidRPr="00000000">
              <w:rPr>
                <w:rtl w:val="0"/>
              </w:rPr>
            </w:r>
          </w:p>
        </w:tc>
      </w:tr>
    </w:tbl>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11" w:lineRule="auto"/>
        <w:rPr>
          <w:color w:val="000000"/>
        </w:rPr>
      </w:pPr>
      <w:r w:rsidDel="00000000" w:rsidR="00000000" w:rsidRPr="00000000">
        <w:rPr>
          <w:rtl w:val="0"/>
        </w:rPr>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49" w:hRule="atLeast"/>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Se cumple con el cronograma y estrategia presentada para pauta, medios digitales internacionales, y medios masivos nacionales, así como las recomendaciones y cambios solicitados en los comités, PARRILLA ANEXA.</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 </w:t>
            </w:r>
            <w:hyperlink r:id="rId14">
              <w:r w:rsidDel="00000000" w:rsidR="00000000" w:rsidRPr="00000000">
                <w:rPr>
                  <w:color w:val="1155cc"/>
                  <w:u w:val="single"/>
                  <w:rtl w:val="0"/>
                </w:rPr>
                <w:t xml:space="preserve">https://docs.google.com/spreadsheets/d/15q2taOUx6Sb1X9eUE3g1m_cyp1K_kn0R/edit?usp=drive_link&amp;ouid=103450912699124565243&amp;rtpof=true&amp;sd=true</w:t>
              </w:r>
            </w:hyperlink>
            <w:r w:rsidDel="00000000" w:rsidR="00000000" w:rsidRPr="00000000">
              <w:rPr>
                <w:rtl w:val="0"/>
              </w:rPr>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Se realizó la revisión detallada de la documentación y página web del Concurso, dando lugar a la elaboración de un documento con recomendaciones para la actualización de la página web y la solicitud de fotografías pertenecientes al banco de la Orquesta Filarmónica de Bogotá, a manera de insumo para esta actualización.</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Apoyo a las comunicaciones, mediante la identificación de 237 violinistas participantes en 25 concursos internacionales y la creación de la base de datos respectiva como insumo para el contacto directo a través de las redes sociales de la SCRD, por parte del equipo de la oficina de comunicaciones. Como parte de este proceso se ha apoyado la redacción y traducción de insumos como: mensajes personalizados, respuestas a mensajes y copias. Adicionalmente se construyó una lista de reproducción en Spotify, con el repertorio del concurso y se realizó la gestión necesaria para el rodaje de vídeos de apoyo a la difusión del concurso por parte del Maestro Alexis Cárdenas.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Apoyo a la difusión en medios especializados, mediante la sugerencia de  portales especializados y el acompañamiento al proceso de articulación con The Violin Channel"</w:t>
            </w:r>
          </w:p>
        </w:tc>
      </w:tr>
    </w:tbl>
    <w:p w:rsidR="00000000" w:rsidDel="00000000" w:rsidP="00000000" w:rsidRDefault="00000000" w:rsidRPr="00000000" w14:paraId="0000009E">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9F">
      <w:pPr>
        <w:pStyle w:val="Heading1"/>
        <w:numPr>
          <w:ilvl w:val="0"/>
          <w:numId w:val="2"/>
        </w:numPr>
        <w:tabs>
          <w:tab w:val="left" w:leader="none" w:pos="622"/>
        </w:tabs>
        <w:ind w:left="622" w:hanging="358"/>
        <w:rPr/>
      </w:pPr>
      <w:r w:rsidDel="00000000" w:rsidR="00000000" w:rsidRPr="00000000">
        <w:rPr>
          <w:rtl w:val="0"/>
        </w:rPr>
        <w:t xml:space="preserve">SEGUIMIENTO A LOS RIESGOS DE LA CONTRATACIÓN</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184" w:line="254" w:lineRule="auto"/>
        <w:ind w:left="264" w:firstLine="0"/>
        <w:rPr>
          <w:color w:val="000000"/>
        </w:rPr>
      </w:pPr>
      <w:r w:rsidDel="00000000" w:rsidR="00000000" w:rsidRPr="00000000">
        <w:rPr>
          <w:color w:val="000000"/>
          <w:rtl w:val="0"/>
        </w:rPr>
        <w:t xml:space="preserve">Conforme la matriz de riesgos definida para el proceso de selección se procedió a efectuar el seguimiento de los mismos así:</w:t>
      </w:r>
    </w:p>
    <w:p w:rsidR="00000000" w:rsidDel="00000000" w:rsidP="00000000" w:rsidRDefault="00000000" w:rsidRPr="00000000" w14:paraId="000000A1">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r w:rsidDel="00000000" w:rsidR="00000000" w:rsidRPr="00000000">
        <w:rPr>
          <w:rtl w:val="0"/>
        </w:rPr>
      </w:r>
    </w:p>
    <w:p w:rsidR="00000000" w:rsidDel="00000000" w:rsidP="00000000" w:rsidRDefault="00000000" w:rsidRPr="00000000" w14:paraId="000000A2">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A3">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A4">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A5">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A7">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p>
    <w:p w:rsidR="00000000" w:rsidDel="00000000" w:rsidP="00000000" w:rsidRDefault="00000000" w:rsidRPr="00000000" w14:paraId="000000A8">
      <w:pPr>
        <w:tabs>
          <w:tab w:val="left" w:leader="none" w:pos="529"/>
        </w:tabs>
        <w:spacing w:before="165" w:lineRule="auto"/>
        <w:ind w:left="264" w:right="41" w:firstLine="0"/>
        <w:jc w:val="both"/>
        <w:rPr/>
      </w:pPr>
      <w:r w:rsidDel="00000000" w:rsidR="00000000" w:rsidRPr="00000000">
        <w:rPr>
          <w:rtl w:val="0"/>
        </w:rPr>
        <w:t xml:space="preserve">El comité operativo no ha percibido la materialización de estos riesgos.</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AA">
      <w:pPr>
        <w:pStyle w:val="Heading1"/>
        <w:numPr>
          <w:ilvl w:val="0"/>
          <w:numId w:val="2"/>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0A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0AD">
      <w:pPr>
        <w:tabs>
          <w:tab w:val="left" w:leader="none" w:pos="529"/>
        </w:tabs>
        <w:spacing w:before="165" w:lineRule="auto"/>
        <w:ind w:left="0" w:right="41" w:firstLine="0"/>
        <w:jc w:val="both"/>
        <w:rPr/>
      </w:pPr>
      <w:r w:rsidDel="00000000" w:rsidR="00000000" w:rsidRPr="00000000">
        <w:rPr>
          <w:rtl w:val="0"/>
        </w:rPr>
      </w:r>
    </w:p>
    <w:p w:rsidR="00000000" w:rsidDel="00000000" w:rsidP="00000000" w:rsidRDefault="00000000" w:rsidRPr="00000000" w14:paraId="000000AE">
      <w:pPr>
        <w:pStyle w:val="Heading1"/>
        <w:numPr>
          <w:ilvl w:val="0"/>
          <w:numId w:val="2"/>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before="252"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0B0">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color w:val="000000"/>
          <w:rtl w:val="0"/>
        </w:rPr>
        <w:t xml:space="preserve">COMITÉS TÉCNICOS U OPERATIVOS DEL CONTRATO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before="19" w:lineRule="auto"/>
        <w:rPr>
          <w:color w:val="000000"/>
        </w:rPr>
      </w:pPr>
      <w:r w:rsidDel="00000000" w:rsidR="00000000" w:rsidRPr="00000000">
        <w:rPr>
          <w:rtl w:val="0"/>
        </w:rPr>
      </w:r>
    </w:p>
    <w:tbl>
      <w:tblPr>
        <w:tblStyle w:val="Table17"/>
        <w:tblW w:w="8835.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2205"/>
        <w:gridCol w:w="3510"/>
        <w:tblGridChange w:id="0">
          <w:tblGrid>
            <w:gridCol w:w="3120"/>
            <w:gridCol w:w="2205"/>
            <w:gridCol w:w="3510"/>
          </w:tblGrid>
        </w:tblGridChange>
      </w:tblGrid>
      <w:tr>
        <w:trPr>
          <w:cantSplit w:val="0"/>
          <w:trHeight w:val="1017" w:hRule="atLeast"/>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ind w:left="371" w:right="126" w:firstLine="0"/>
              <w:rPr>
                <w:b w:val="1"/>
                <w:color w:val="000000"/>
              </w:rPr>
            </w:pPr>
            <w:r w:rsidDel="00000000" w:rsidR="00000000" w:rsidRPr="00000000">
              <w:rPr>
                <w:b w:val="1"/>
                <w:color w:val="000000"/>
                <w:rtl w:val="0"/>
              </w:rPr>
              <w:t xml:space="preserve">ACTAS DE COMITÉS TÉCNICOS OPERATIVOS</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FECHA DE RADICACIÓN ORFEO</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27" w:lineRule="auto"/>
              <w:ind w:left="677" w:firstLine="0"/>
              <w:rPr>
                <w:b w:val="1"/>
                <w:color w:val="000000"/>
              </w:rPr>
            </w:pPr>
            <w:r w:rsidDel="00000000" w:rsidR="00000000" w:rsidRPr="00000000">
              <w:rPr>
                <w:b w:val="1"/>
                <w:color w:val="000000"/>
                <w:rtl w:val="0"/>
              </w:rPr>
              <w:t xml:space="preserve">NÚMERO DE RADICACIÓN</w:t>
            </w:r>
          </w:p>
        </w:tc>
      </w:tr>
      <w:tr>
        <w:trPr>
          <w:cantSplit w:val="0"/>
          <w:trHeight w:val="691" w:hRule="atLeast"/>
          <w:tblHeader w:val="0"/>
        </w:trPr>
        <w:tc>
          <w:tcPr/>
          <w:p w:rsidR="00000000" w:rsidDel="00000000" w:rsidP="00000000" w:rsidRDefault="00000000" w:rsidRPr="00000000" w14:paraId="000000B7">
            <w:pPr>
              <w:spacing w:before="2" w:line="288" w:lineRule="auto"/>
              <w:ind w:left="139" w:right="126" w:firstLine="0"/>
              <w:rPr/>
            </w:pPr>
            <w:r w:rsidDel="00000000" w:rsidR="00000000" w:rsidRPr="00000000">
              <w:rPr>
                <w:rtl w:val="0"/>
              </w:rPr>
              <w:t xml:space="preserve">COMITÉ TÉCNICO OPERATIVO No. 1</w:t>
            </w:r>
          </w:p>
        </w:tc>
        <w:tc>
          <w:tcPr/>
          <w:p w:rsidR="00000000" w:rsidDel="00000000" w:rsidP="00000000" w:rsidRDefault="00000000" w:rsidRPr="00000000" w14:paraId="000000B8">
            <w:pPr>
              <w:spacing w:line="227" w:lineRule="auto"/>
              <w:ind w:left="155" w:firstLine="0"/>
              <w:rPr/>
            </w:pPr>
            <w:r w:rsidDel="00000000" w:rsidR="00000000" w:rsidRPr="00000000">
              <w:rPr>
                <w:rtl w:val="0"/>
              </w:rPr>
              <w:t xml:space="preserve">05/06/2025</w:t>
            </w:r>
          </w:p>
        </w:tc>
        <w:tc>
          <w:tcPr/>
          <w:p w:rsidR="00000000" w:rsidDel="00000000" w:rsidP="00000000" w:rsidRDefault="00000000" w:rsidRPr="00000000" w14:paraId="000000B9">
            <w:pPr>
              <w:spacing w:line="227" w:lineRule="auto"/>
              <w:ind w:left="151" w:firstLine="0"/>
              <w:rPr/>
            </w:pPr>
            <w:r w:rsidDel="00000000" w:rsidR="00000000" w:rsidRPr="00000000">
              <w:rPr>
                <w:rtl w:val="0"/>
              </w:rPr>
              <w:t xml:space="preserve">20251000272083</w:t>
            </w:r>
          </w:p>
        </w:tc>
      </w:tr>
      <w:tr>
        <w:trPr>
          <w:cantSplit w:val="0"/>
          <w:trHeight w:val="691" w:hRule="atLeast"/>
          <w:tblHeader w:val="0"/>
        </w:trPr>
        <w:tc>
          <w:tcPr/>
          <w:p w:rsidR="00000000" w:rsidDel="00000000" w:rsidP="00000000" w:rsidRDefault="00000000" w:rsidRPr="00000000" w14:paraId="000000BA">
            <w:pPr>
              <w:spacing w:before="2" w:line="288" w:lineRule="auto"/>
              <w:ind w:left="139" w:right="126" w:firstLine="0"/>
              <w:rPr/>
            </w:pPr>
            <w:r w:rsidDel="00000000" w:rsidR="00000000" w:rsidRPr="00000000">
              <w:rPr>
                <w:rtl w:val="0"/>
              </w:rPr>
              <w:t xml:space="preserve">COMITÉ TÉCNICO OPERATIVO No. 2</w:t>
            </w:r>
          </w:p>
        </w:tc>
        <w:tc>
          <w:tcPr/>
          <w:p w:rsidR="00000000" w:rsidDel="00000000" w:rsidP="00000000" w:rsidRDefault="00000000" w:rsidRPr="00000000" w14:paraId="000000BB">
            <w:pPr>
              <w:spacing w:line="227" w:lineRule="auto"/>
              <w:ind w:left="155" w:firstLine="0"/>
              <w:rPr/>
            </w:pPr>
            <w:r w:rsidDel="00000000" w:rsidR="00000000" w:rsidRPr="00000000">
              <w:rPr>
                <w:rtl w:val="0"/>
              </w:rPr>
              <w:t xml:space="preserve">14/05/2025</w:t>
            </w:r>
          </w:p>
        </w:tc>
        <w:tc>
          <w:tcPr/>
          <w:p w:rsidR="00000000" w:rsidDel="00000000" w:rsidP="00000000" w:rsidRDefault="00000000" w:rsidRPr="00000000" w14:paraId="000000BC">
            <w:pPr>
              <w:spacing w:line="227" w:lineRule="auto"/>
              <w:ind w:left="151" w:firstLine="0"/>
              <w:rPr/>
            </w:pPr>
            <w:r w:rsidDel="00000000" w:rsidR="00000000" w:rsidRPr="00000000">
              <w:rPr>
                <w:rtl w:val="0"/>
              </w:rPr>
              <w:t xml:space="preserve">20251000230393</w:t>
            </w:r>
          </w:p>
        </w:tc>
      </w:tr>
    </w:tbl>
    <w:p w:rsidR="00000000" w:rsidDel="00000000" w:rsidP="00000000" w:rsidRDefault="00000000" w:rsidRPr="00000000" w14:paraId="000000B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BF">
      <w:pPr>
        <w:ind w:left="264" w:firstLine="0"/>
        <w:jc w:val="both"/>
        <w:rPr>
          <w:color w:val="000000"/>
        </w:rPr>
      </w:pPr>
      <w:r w:rsidDel="00000000" w:rsidR="00000000" w:rsidRPr="00000000">
        <w:rPr>
          <w:b w:val="1"/>
          <w:rtl w:val="0"/>
        </w:rPr>
        <w:t xml:space="preserve">COMITÉS DE OBRA DEL CONTRATO </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0C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2">
      <w:pPr>
        <w:pStyle w:val="Heading1"/>
        <w:numPr>
          <w:ilvl w:val="0"/>
          <w:numId w:val="2"/>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0C3">
      <w:pPr>
        <w:pStyle w:val="Heading1"/>
        <w:tabs>
          <w:tab w:val="left" w:leader="none" w:pos="622"/>
        </w:tabs>
        <w:ind w:left="624" w:firstLine="0"/>
        <w:rPr/>
      </w:pPr>
      <w:r w:rsidDel="00000000" w:rsidR="00000000" w:rsidRPr="00000000">
        <w:rPr>
          <w:rtl w:val="0"/>
        </w:rPr>
      </w:r>
    </w:p>
    <w:p w:rsidR="00000000" w:rsidDel="00000000" w:rsidP="00000000" w:rsidRDefault="00000000" w:rsidRPr="00000000" w14:paraId="000000C4">
      <w:pPr>
        <w:pStyle w:val="Heading1"/>
        <w:tabs>
          <w:tab w:val="left" w:leader="none" w:pos="622"/>
        </w:tabs>
        <w:ind w:left="0" w:firstLine="0"/>
        <w:rPr>
          <w:b w:val="0"/>
          <w:color w:val="000000"/>
        </w:rPr>
      </w:pPr>
      <w:r w:rsidDel="00000000" w:rsidR="00000000" w:rsidRPr="00000000">
        <w:rPr>
          <w:b w:val="0"/>
          <w:color w:val="000000"/>
          <w:rtl w:val="0"/>
        </w:rPr>
        <w:t xml:space="preserve">Una vez analizados los soportes presentados por el contratista, </w:t>
      </w:r>
      <w:r w:rsidDel="00000000" w:rsidR="00000000" w:rsidRPr="00000000">
        <w:rPr>
          <w:b w:val="0"/>
          <w:rtl w:val="0"/>
        </w:rPr>
        <w:t xml:space="preserve">está</w:t>
      </w:r>
      <w:r w:rsidDel="00000000" w:rsidR="00000000" w:rsidRPr="00000000">
        <w:rPr>
          <w:b w:val="0"/>
          <w:color w:val="000000"/>
          <w:rtl w:val="0"/>
        </w:rPr>
        <w:t xml:space="preserve"> supervisión certifica el cumplimiento por parte de la </w:t>
      </w:r>
      <w:r w:rsidDel="00000000" w:rsidR="00000000" w:rsidRPr="00000000">
        <w:rPr>
          <w:b w:val="0"/>
          <w:rtl w:val="0"/>
        </w:rPr>
        <w:t xml:space="preserve">Asociación Nacional de Música Sinfónica</w:t>
      </w:r>
      <w:r w:rsidDel="00000000" w:rsidR="00000000" w:rsidRPr="00000000">
        <w:rPr>
          <w:b w:val="0"/>
          <w:color w:val="000000"/>
          <w:rtl w:val="0"/>
        </w:rPr>
        <w:t xml:space="preserve"> del objeto y de cada una de las obligaciones previstas en el Convenio de Asociación No. </w:t>
      </w:r>
      <w:r w:rsidDel="00000000" w:rsidR="00000000" w:rsidRPr="00000000">
        <w:rPr>
          <w:b w:val="0"/>
          <w:rtl w:val="0"/>
        </w:rPr>
        <w:t xml:space="preserve">768</w:t>
      </w:r>
      <w:r w:rsidDel="00000000" w:rsidR="00000000" w:rsidRPr="00000000">
        <w:rPr>
          <w:b w:val="0"/>
          <w:color w:val="000000"/>
          <w:rtl w:val="0"/>
        </w:rPr>
        <w:t xml:space="preserve"> de 2024. Así mismo se verifica el cumplimiento de todos los requisitos administrativos para el pago.</w:t>
      </w:r>
    </w:p>
    <w:p w:rsidR="00000000" w:rsidDel="00000000" w:rsidP="00000000" w:rsidRDefault="00000000" w:rsidRPr="00000000" w14:paraId="000000C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before="49" w:lineRule="auto"/>
        <w:rPr>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Nombre: </w:t>
      </w:r>
      <w:r w:rsidDel="00000000" w:rsidR="00000000" w:rsidRPr="00000000">
        <w:rPr>
          <w:rtl w:val="0"/>
        </w:rPr>
        <w:t xml:space="preserve">NATALIA SEFAIR LÓPEZ</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Fecha de expedición: 28</w:t>
      </w:r>
      <w:r w:rsidDel="00000000" w:rsidR="00000000" w:rsidRPr="00000000">
        <w:rPr>
          <w:rtl w:val="0"/>
        </w:rPr>
        <w:t xml:space="preserve">/02/2025</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before="4" w:lineRule="auto"/>
        <w:ind w:left="264" w:firstLine="0"/>
        <w:rPr>
          <w:color w:val="000000"/>
        </w:rPr>
      </w:pPr>
      <w:r w:rsidDel="00000000" w:rsidR="00000000" w:rsidRPr="00000000">
        <w:rPr>
          <w:color w:val="000000"/>
          <w:rtl w:val="0"/>
        </w:rPr>
        <w:t xml:space="preserve">Radicado(s) sobre designación de supervisión.</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4" w:lineRule="auto"/>
        <w:ind w:left="264" w:firstLine="0"/>
        <w:rPr/>
      </w:pPr>
      <w:r w:rsidDel="00000000" w:rsidR="00000000" w:rsidRPr="00000000">
        <w:rPr>
          <w:rtl w:val="0"/>
        </w:rPr>
        <w:t xml:space="preserve">20242000508353</w:t>
      </w:r>
    </w:p>
    <w:sectPr>
      <w:type w:val="nextPage"/>
      <w:pgSz w:h="15840" w:w="12240" w:orient="portrait"/>
      <w:pgMar w:bottom="280" w:top="3040" w:left="1440" w:right="1080" w:header="1022"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tl w:val="0"/>
      </w:rPr>
    </w:r>
  </w:p>
  <w:tbl>
    <w:tblPr>
      <w:tblStyle w:val="Table18"/>
      <w:tblW w:w="9357.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5"/>
      <w:gridCol w:w="4736"/>
      <w:gridCol w:w="2696"/>
      <w:tblGridChange w:id="0">
        <w:tblGrid>
          <w:gridCol w:w="1925"/>
          <w:gridCol w:w="4736"/>
          <w:gridCol w:w="2696"/>
        </w:tblGrid>
      </w:tblGridChange>
    </w:tblGrid>
    <w:tr>
      <w:trPr>
        <w:cantSplit w:val="0"/>
        <w:trHeight w:val="544" w:hRule="atLeast"/>
        <w:tblHeader w:val="0"/>
      </w:trPr>
      <w:tc>
        <w:tcPr>
          <w:vMerge w:val="restart"/>
          <w:tcBorders>
            <w:bottom w:color="000000" w:space="0" w:sz="0" w:val="nil"/>
          </w:tcBorders>
        </w:tcPr>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55" w:lineRule="auto"/>
            <w:ind w:left="1000"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GESTIÓN CONTRACTUAL</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7" w:hRule="atLeast"/>
        <w:tblHeader w:val="0"/>
      </w:trPr>
      <w:tc>
        <w:tcPr>
          <w:vMerge w:val="continue"/>
          <w:tcBorders>
            <w:bottom w:color="000000" w:space="0" w:sz="0" w:val="nil"/>
          </w:tcBorders>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0D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76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INFORME DE SUPERVISIÓN</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before="53"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1</w:t>
          </w:r>
        </w:p>
      </w:tc>
    </w:tr>
    <w:tr>
      <w:trPr>
        <w:cantSplit w:val="0"/>
        <w:trHeight w:val="489" w:hRule="atLeast"/>
        <w:tblHeader w:val="0"/>
      </w:trPr>
      <w:tc>
        <w:tcPr>
          <w:vMerge w:val="continue"/>
          <w:tcBorders>
            <w:bottom w:color="000000" w:space="0" w:sz="0" w:val="nil"/>
          </w:tcBorders>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before="56"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FECHA:10/07/2024</w:t>
          </w:r>
        </w:p>
      </w:tc>
    </w:tr>
    <w:tr>
      <w:trPr>
        <w:cantSplit w:val="0"/>
        <w:trHeight w:val="470" w:hRule="atLeast"/>
        <w:tblHeader w:val="0"/>
      </w:trPr>
      <w:tc>
        <w:tcPr>
          <w:vMerge w:val="continue"/>
          <w:tcBorders>
            <w:bottom w:color="000000" w:space="0" w:sz="0" w:val="nil"/>
          </w:tcBorders>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before="56"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HOJA: 1</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0DC">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i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1"/>
      <w:numFmt w:val="decimal"/>
      <w:lvlText w:val="%1."/>
      <w:lvlJc w:val="left"/>
      <w:pPr>
        <w:ind w:left="624" w:hanging="360"/>
      </w:pPr>
      <w:rPr>
        <w:rFonts w:ascii="Arial" w:cs="Arial" w:eastAsia="Arial" w:hAnsi="Arial"/>
        <w:b w:val="1"/>
        <w:i w:val="0"/>
        <w:sz w:val="22"/>
        <w:szCs w:val="22"/>
      </w:rPr>
    </w:lvl>
    <w:lvl w:ilvl="1">
      <w:start w:val="1"/>
      <w:numFmt w:val="decimal"/>
      <w:lvlText w:val="%2."/>
      <w:lvlJc w:val="left"/>
      <w:pPr>
        <w:ind w:left="1094" w:hanging="360"/>
      </w:pPr>
      <w:rPr>
        <w:rFonts w:ascii="Arial" w:cs="Arial" w:eastAsia="Arial" w:hAnsi="Arial"/>
        <w:b w:val="0"/>
        <w:i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622" w:hanging="358"/>
      <w:jc w:val="both"/>
    </w:pPr>
    <w:rPr>
      <w:rFonts w:ascii="Arial" w:cs="Arial" w:eastAsia="Arial" w:hAnsi="Arial"/>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Arial MT" w:cs="Arial MT" w:eastAsia="Arial MT" w:hAnsi="Arial MT"/>
    </w:rPr>
  </w:style>
  <w:style w:type="paragraph" w:styleId="Ttulo1">
    <w:name w:val="heading 1"/>
    <w:basedOn w:val="Normal"/>
    <w:uiPriority w:val="9"/>
    <w:qFormat w:val="1"/>
    <w:pPr>
      <w:ind w:left="622" w:hanging="358"/>
      <w:jc w:val="both"/>
      <w:outlineLvl w:val="0"/>
    </w:pPr>
    <w:rPr>
      <w:rFonts w:ascii="Arial" w:cs="Arial" w:eastAsia="Arial" w:hAnsi="Arial"/>
      <w:b w:val="1"/>
      <w:bCs w:val="1"/>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0"/>
    <w:tblPr>
      <w:tblStyleRowBandSize w:val="1"/>
      <w:tblStyleColBandSize w:val="1"/>
    </w:tblPr>
  </w:style>
  <w:style w:type="table" w:styleId="af2" w:customStyle="1">
    <w:basedOn w:val="TableNormal0"/>
    <w:tblPr>
      <w:tblStyleRowBandSize w:val="1"/>
      <w:tblStyleColBandSize w:val="1"/>
    </w:tblPr>
  </w:style>
  <w:style w:type="table" w:styleId="af3" w:customStyle="1">
    <w:basedOn w:val="TableNormal0"/>
    <w:tblPr>
      <w:tblStyleRowBandSize w:val="1"/>
      <w:tblStyleColBandSize w:val="1"/>
    </w:tblPr>
  </w:style>
  <w:style w:type="table" w:styleId="af4" w:customStyle="1">
    <w:basedOn w:val="TableNormal0"/>
    <w:tblPr>
      <w:tblStyleRowBandSize w:val="1"/>
      <w:tblStyleColBandSize w:val="1"/>
    </w:tblPr>
  </w:style>
  <w:style w:type="table" w:styleId="af5" w:customStyle="1">
    <w:basedOn w:val="TableNormal0"/>
    <w:tblPr>
      <w:tblStyleRowBandSize w:val="1"/>
      <w:tblStyleColBandSize w:val="1"/>
    </w:tblPr>
  </w:style>
  <w:style w:type="table" w:styleId="af6" w:customStyle="1">
    <w:basedOn w:val="TableNormal0"/>
    <w:tblPr>
      <w:tblStyleRowBandSize w:val="1"/>
      <w:tblStyleColBandSize w:val="1"/>
    </w:tblPr>
  </w:style>
  <w:style w:type="table" w:styleId="af7" w:customStyle="1">
    <w:basedOn w:val="TableNormal0"/>
    <w:tblPr>
      <w:tblStyleRowBandSize w:val="1"/>
      <w:tblStyleColBandSize w:val="1"/>
    </w:tblPr>
  </w:style>
  <w:style w:type="table" w:styleId="af8" w:customStyle="1">
    <w:basedOn w:val="TableNormal0"/>
    <w:tblPr>
      <w:tblStyleRowBandSize w:val="1"/>
      <w:tblStyleColBandSize w:val="1"/>
    </w:tblPr>
  </w:style>
  <w:style w:type="table" w:styleId="af9" w:customStyle="1">
    <w:basedOn w:val="TableNormal0"/>
    <w:tblPr>
      <w:tblStyleRowBandSize w:val="1"/>
      <w:tblStyleColBandSize w:val="1"/>
    </w:tblPr>
  </w:style>
  <w:style w:type="table" w:styleId="afa" w:customStyle="1">
    <w:basedOn w:val="TableNormal0"/>
    <w:tblPr>
      <w:tblStyleRowBandSize w:val="1"/>
      <w:tblStyleColBandSize w:val="1"/>
    </w:tblPr>
  </w:style>
  <w:style w:type="table" w:styleId="afb" w:customStyle="1">
    <w:basedOn w:val="TableNormal0"/>
    <w:tblPr>
      <w:tblStyleRowBandSize w:val="1"/>
      <w:tblStyleColBandSize w:val="1"/>
    </w:tblPr>
  </w:style>
  <w:style w:type="table" w:styleId="afc" w:customStyle="1">
    <w:basedOn w:val="TableNormal0"/>
    <w:tblPr>
      <w:tblStyleRowBandSize w:val="1"/>
      <w:tblStyleColBandSize w:val="1"/>
    </w:tblPr>
  </w:style>
  <w:style w:type="table" w:styleId="afd" w:customStyle="1">
    <w:basedOn w:val="TableNormal0"/>
    <w:tblPr>
      <w:tblStyleRowBandSize w:val="1"/>
      <w:tblStyleColBandSize w:val="1"/>
    </w:tblPr>
  </w:style>
  <w:style w:type="table" w:styleId="afe" w:customStyle="1">
    <w:basedOn w:val="TableNormal0"/>
    <w:tblPr>
      <w:tblStyleRowBandSize w:val="1"/>
      <w:tblStyleColBandSize w:val="1"/>
    </w:tblPr>
  </w:style>
  <w:style w:type="table" w:styleId="aff" w:customStyle="1">
    <w:basedOn w:val="TableNormal0"/>
    <w:tblPr>
      <w:tblStyleRowBandSize w:val="1"/>
      <w:tblStyleColBandSize w:val="1"/>
    </w:tblPr>
  </w:style>
  <w:style w:type="table" w:styleId="aff0" w:customStyle="1">
    <w:basedOn w:val="TableNormal0"/>
    <w:tblPr>
      <w:tblStyleRowBandSize w:val="1"/>
      <w:tblStyleColBandSize w:val="1"/>
    </w:tblPr>
  </w:style>
  <w:style w:type="table" w:styleId="aff1" w:customStyle="1">
    <w:basedOn w:val="TableNormal0"/>
    <w:tblPr>
      <w:tblStyleRowBandSize w:val="1"/>
      <w:tblStyleColBandSize w:val="1"/>
    </w:tblPr>
  </w:style>
  <w:style w:type="table" w:styleId="aff2" w:customStyle="1">
    <w:basedOn w:val="TableNormal0"/>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T-dcfNJZFiIr9QhIXKHHxJWPmFjT9QTz/view?usp=drive_link" TargetMode="External"/><Relationship Id="rId10" Type="http://schemas.openxmlformats.org/officeDocument/2006/relationships/hyperlink" Target="https://docs.google.com/spreadsheets/d/1302Dhc9XEWaW7fNYET6BzzbxDU12a4QHMoKAXiEU6-s/edit?usp=drive_link" TargetMode="External"/><Relationship Id="rId13" Type="http://schemas.openxmlformats.org/officeDocument/2006/relationships/hyperlink" Target="https://docs.google.com/spreadsheets/d/1302Dhc9XEWaW7fNYET6BzzbxDU12a4QHMoKAXiEU6-s/edit?usp=drive_link" TargetMode="External"/><Relationship Id="rId12" Type="http://schemas.openxmlformats.org/officeDocument/2006/relationships/hyperlink" Target="https://docs.google.com/spreadsheets/d/1FsBlh75Dw7fYw3WtASA4TAqu_4dOLFtY1PNlJ6cAzEE/edit?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FsBlh75Dw7fYw3WtASA4TAqu_4dOLFtY1PNlJ6cAzEE/edit?usp=drive_link" TargetMode="External"/><Relationship Id="rId14" Type="http://schemas.openxmlformats.org/officeDocument/2006/relationships/hyperlink" Target="https://docs.google.com/spreadsheets/d/15q2taOUx6Sb1X9eUE3g1m_cyp1K_kn0R/edit?usp=drive_link&amp;ouid=103450912699124565243&amp;rtpof=true&amp;sd=tru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PoNTvQ0yj9XpzTUrzuTHZL5jLA==">CgMxLjA4AHIhMXFQYVZtSTJXLXBfTXkzN25PV1hfWW1JR2U2a1FNTVd6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2025-04-21T14:39:00Z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